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Theme="majorEastAsia" w:hAnsiTheme="majorEastAsia" w:eastAsiaTheme="majorEastAsia" w:cstheme="majorEastAsia"/>
          <w:b/>
          <w:bCs/>
          <w:sz w:val="44"/>
          <w:szCs w:val="44"/>
        </w:rPr>
      </w:pPr>
    </w:p>
    <w:p>
      <w:pPr>
        <w:spacing w:line="240" w:lineRule="auto"/>
        <w:jc w:val="center"/>
        <w:rPr>
          <w:rFonts w:hint="eastAsia" w:ascii="仿宋" w:hAnsi="仿宋" w:eastAsia="仿宋" w:cs="仿宋"/>
          <w:sz w:val="32"/>
          <w:szCs w:val="32"/>
        </w:rPr>
      </w:pPr>
      <w:r>
        <w:rPr>
          <w:rFonts w:hint="eastAsia" w:asciiTheme="majorEastAsia" w:hAnsiTheme="majorEastAsia" w:eastAsiaTheme="majorEastAsia" w:cstheme="majorEastAsia"/>
          <w:b/>
          <w:bCs/>
          <w:sz w:val="44"/>
          <w:szCs w:val="44"/>
        </w:rPr>
        <w:t>山西省体育局202</w:t>
      </w:r>
      <w:r>
        <w:rPr>
          <w:rFonts w:hint="eastAsia" w:asciiTheme="majorEastAsia" w:hAnsiTheme="majorEastAsia" w:eastAsiaTheme="majorEastAsia" w:cstheme="majorEastAsia"/>
          <w:b/>
          <w:bCs/>
          <w:sz w:val="44"/>
          <w:szCs w:val="44"/>
          <w:lang w:val="en-US" w:eastAsia="zh-CN"/>
        </w:rPr>
        <w:t>5</w:t>
      </w:r>
      <w:r>
        <w:rPr>
          <w:rFonts w:hint="eastAsia" w:asciiTheme="majorEastAsia" w:hAnsiTheme="majorEastAsia" w:eastAsiaTheme="majorEastAsia" w:cstheme="majorEastAsia"/>
          <w:b/>
          <w:bCs/>
          <w:sz w:val="44"/>
          <w:szCs w:val="44"/>
        </w:rPr>
        <w:t>年政府信息公开</w:t>
      </w:r>
      <w:r>
        <w:rPr>
          <w:rFonts w:hint="eastAsia" w:asciiTheme="majorEastAsia" w:hAnsiTheme="majorEastAsia" w:eastAsiaTheme="majorEastAsia" w:cstheme="majorEastAsia"/>
          <w:b/>
          <w:bCs/>
          <w:sz w:val="44"/>
          <w:szCs w:val="44"/>
          <w:lang w:eastAsia="zh-CN"/>
        </w:rPr>
        <w:t>年度</w:t>
      </w:r>
      <w:bookmarkStart w:id="0" w:name="_GoBack"/>
      <w:bookmarkEnd w:id="0"/>
      <w:r>
        <w:rPr>
          <w:rFonts w:hint="eastAsia" w:asciiTheme="majorEastAsia" w:hAnsiTheme="majorEastAsia" w:eastAsiaTheme="majorEastAsia" w:cstheme="majorEastAsia"/>
          <w:b/>
          <w:bCs/>
          <w:sz w:val="44"/>
          <w:szCs w:val="44"/>
        </w:rPr>
        <w:t>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本年度报告根据《中华人民共和国政府信息公开条例》以及</w:t>
      </w:r>
      <w:r>
        <w:rPr>
          <w:rFonts w:hint="eastAsia" w:ascii="仿宋" w:hAnsi="仿宋" w:eastAsia="仿宋" w:cs="仿宋"/>
          <w:sz w:val="32"/>
          <w:szCs w:val="32"/>
          <w:lang w:eastAsia="zh-CN"/>
        </w:rPr>
        <w:t>山西</w:t>
      </w:r>
      <w:r>
        <w:rPr>
          <w:rFonts w:hint="eastAsia" w:ascii="仿宋" w:hAnsi="仿宋" w:eastAsia="仿宋" w:cs="仿宋"/>
          <w:sz w:val="32"/>
          <w:szCs w:val="32"/>
        </w:rPr>
        <w:t>省体育局202</w:t>
      </w:r>
      <w:r>
        <w:rPr>
          <w:rFonts w:hint="eastAsia" w:ascii="仿宋" w:hAnsi="仿宋" w:eastAsia="仿宋" w:cs="仿宋"/>
          <w:sz w:val="32"/>
          <w:szCs w:val="32"/>
          <w:lang w:val="en-US" w:eastAsia="zh-CN"/>
        </w:rPr>
        <w:t>5</w:t>
      </w:r>
      <w:r>
        <w:rPr>
          <w:rFonts w:hint="eastAsia" w:ascii="仿宋" w:hAnsi="仿宋" w:eastAsia="仿宋" w:cs="仿宋"/>
          <w:sz w:val="32"/>
          <w:szCs w:val="32"/>
        </w:rPr>
        <w:t>年度政府信息公开有关数据编制。本报告由总体情况、主动公开政府信息情况、收到和处理政府信息公开申请情况、政府信息公开行政复议、行政诉讼情况、存在的问题及改进情况以及其他需要报告的事项等组成。本报告中所列数据的统计期限自202</w:t>
      </w:r>
      <w:r>
        <w:rPr>
          <w:rFonts w:hint="eastAsia" w:ascii="仿宋" w:hAnsi="仿宋" w:eastAsia="仿宋" w:cs="仿宋"/>
          <w:sz w:val="32"/>
          <w:szCs w:val="32"/>
          <w:lang w:val="en-US" w:eastAsia="zh-CN"/>
        </w:rPr>
        <w:t>5</w:t>
      </w:r>
      <w:r>
        <w:rPr>
          <w:rFonts w:hint="eastAsia" w:ascii="仿宋" w:hAnsi="仿宋" w:eastAsia="仿宋" w:cs="仿宋"/>
          <w:sz w:val="32"/>
          <w:szCs w:val="32"/>
        </w:rPr>
        <w:t>年1月1日起至202</w:t>
      </w:r>
      <w:r>
        <w:rPr>
          <w:rFonts w:hint="eastAsia" w:ascii="仿宋" w:hAnsi="仿宋" w:eastAsia="仿宋" w:cs="仿宋"/>
          <w:sz w:val="32"/>
          <w:szCs w:val="32"/>
          <w:lang w:val="en-US" w:eastAsia="zh-CN"/>
        </w:rPr>
        <w:t>5</w:t>
      </w:r>
      <w:r>
        <w:rPr>
          <w:rFonts w:hint="eastAsia" w:ascii="仿宋" w:hAnsi="仿宋" w:eastAsia="仿宋" w:cs="仿宋"/>
          <w:sz w:val="32"/>
          <w:szCs w:val="32"/>
        </w:rPr>
        <w:t>年12月31日止。如对本报告有任何疑问，请与</w:t>
      </w:r>
      <w:r>
        <w:rPr>
          <w:rFonts w:hint="eastAsia" w:ascii="仿宋" w:hAnsi="仿宋" w:eastAsia="仿宋" w:cs="仿宋"/>
          <w:sz w:val="32"/>
          <w:szCs w:val="32"/>
          <w:lang w:eastAsia="zh-CN"/>
        </w:rPr>
        <w:t>山西</w:t>
      </w:r>
      <w:r>
        <w:rPr>
          <w:rFonts w:hint="eastAsia" w:ascii="仿宋" w:hAnsi="仿宋" w:eastAsia="仿宋" w:cs="仿宋"/>
          <w:sz w:val="32"/>
          <w:szCs w:val="32"/>
        </w:rPr>
        <w:t>省体育局办公室联系（地址：</w:t>
      </w:r>
      <w:r>
        <w:rPr>
          <w:rFonts w:hint="eastAsia" w:ascii="仿宋" w:hAnsi="仿宋" w:eastAsia="仿宋" w:cs="仿宋"/>
          <w:sz w:val="32"/>
          <w:szCs w:val="32"/>
          <w:lang w:eastAsia="zh-CN"/>
        </w:rPr>
        <w:t>山西省太原市</w:t>
      </w:r>
      <w:r>
        <w:rPr>
          <w:rFonts w:hint="eastAsia" w:ascii="仿宋" w:hAnsi="仿宋" w:eastAsia="仿宋" w:cs="仿宋"/>
          <w:sz w:val="32"/>
          <w:szCs w:val="32"/>
          <w:lang w:val="en-US" w:eastAsia="zh-CN"/>
        </w:rPr>
        <w:t>寇庄北街2—6号</w:t>
      </w:r>
      <w:r>
        <w:rPr>
          <w:rFonts w:hint="eastAsia" w:ascii="仿宋" w:hAnsi="仿宋" w:eastAsia="仿宋" w:cs="仿宋"/>
          <w:sz w:val="32"/>
          <w:szCs w:val="32"/>
        </w:rPr>
        <w:t>；邮编：</w:t>
      </w:r>
      <w:r>
        <w:rPr>
          <w:rFonts w:hint="eastAsia" w:ascii="仿宋" w:hAnsi="仿宋" w:eastAsia="仿宋" w:cs="仿宋"/>
          <w:sz w:val="32"/>
          <w:szCs w:val="32"/>
          <w:lang w:val="en-US" w:eastAsia="zh-CN"/>
        </w:rPr>
        <w:t>030012</w:t>
      </w:r>
      <w:r>
        <w:rPr>
          <w:rFonts w:hint="eastAsia" w:ascii="仿宋" w:hAnsi="仿宋" w:eastAsia="仿宋" w:cs="仿宋"/>
          <w:sz w:val="32"/>
          <w:szCs w:val="32"/>
        </w:rPr>
        <w:t>，电话：0</w:t>
      </w:r>
      <w:r>
        <w:rPr>
          <w:rFonts w:hint="eastAsia" w:ascii="仿宋" w:hAnsi="仿宋" w:eastAsia="仿宋" w:cs="仿宋"/>
          <w:sz w:val="32"/>
          <w:szCs w:val="32"/>
          <w:lang w:val="en-US" w:eastAsia="zh-CN"/>
        </w:rPr>
        <w:t>351</w:t>
      </w:r>
      <w:r>
        <w:rPr>
          <w:rFonts w:hint="eastAsia" w:ascii="仿宋" w:hAnsi="仿宋" w:eastAsia="仿宋" w:cs="仿宋"/>
          <w:sz w:val="32"/>
          <w:szCs w:val="32"/>
        </w:rPr>
        <w:t>-</w:t>
      </w:r>
      <w:r>
        <w:rPr>
          <w:rFonts w:hint="eastAsia" w:ascii="仿宋" w:hAnsi="仿宋" w:eastAsia="仿宋" w:cs="仿宋"/>
          <w:sz w:val="32"/>
          <w:szCs w:val="32"/>
          <w:lang w:val="en-US" w:eastAsia="zh-CN"/>
        </w:rPr>
        <w:t>7686289</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一、</w:t>
      </w:r>
      <w:r>
        <w:rPr>
          <w:rFonts w:hint="eastAsia" w:ascii="黑体" w:hAnsi="黑体" w:eastAsia="黑体" w:cs="黑体"/>
          <w:b/>
          <w:bCs/>
          <w:sz w:val="32"/>
          <w:szCs w:val="32"/>
        </w:rPr>
        <w:t>总体情况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sz w:val="32"/>
          <w:szCs w:val="32"/>
        </w:rPr>
        <w:t>2025年，</w:t>
      </w:r>
      <w:r>
        <w:rPr>
          <w:rFonts w:hint="eastAsia" w:ascii="仿宋" w:hAnsi="仿宋" w:eastAsia="仿宋" w:cs="仿宋"/>
          <w:sz w:val="32"/>
          <w:szCs w:val="32"/>
          <w:lang w:val="en-US" w:eastAsia="zh-CN"/>
        </w:rPr>
        <w:t>山西</w:t>
      </w:r>
      <w:r>
        <w:rPr>
          <w:rFonts w:hint="eastAsia" w:ascii="仿宋" w:hAnsi="仿宋" w:eastAsia="仿宋" w:cs="仿宋"/>
          <w:sz w:val="32"/>
          <w:szCs w:val="32"/>
        </w:rPr>
        <w:t>省体育局以习近平新时代中国特色社会主义思想为指导，深入学习贯彻党的二十大和二十届历次全会精神，</w:t>
      </w:r>
      <w:r>
        <w:rPr>
          <w:rFonts w:hint="eastAsia" w:ascii="仿宋" w:hAnsi="仿宋" w:eastAsia="仿宋" w:cs="仿宋"/>
          <w:bCs/>
          <w:sz w:val="32"/>
          <w:szCs w:val="32"/>
        </w:rPr>
        <w:t>按照省委、省政府决策部署，</w:t>
      </w:r>
      <w:r>
        <w:rPr>
          <w:rFonts w:hint="eastAsia" w:ascii="仿宋" w:hAnsi="仿宋" w:eastAsia="仿宋" w:cs="仿宋"/>
        </w:rPr>
        <w:t>准确把握新时代政务公开工作要求，持续提升政务公开工作水平，进一步扩大群众的知情权、参与权和监督权。现将情况报告如下：</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政府信息主动公开方面。</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山西</w:t>
      </w:r>
      <w:r>
        <w:rPr>
          <w:rFonts w:hint="eastAsia" w:ascii="仿宋" w:hAnsi="仿宋" w:eastAsia="仿宋" w:cs="仿宋"/>
          <w:b w:val="0"/>
          <w:bCs w:val="0"/>
          <w:sz w:val="32"/>
          <w:szCs w:val="32"/>
        </w:rPr>
        <w:t>省体育局认真落实各项公开制度，不断丰富公开内容，规范公开程序，围绕社会关注、群众关切，在局官网及时发布通知公告、政策文件、新闻信息等，全方位呈现体育事业发展动态</w:t>
      </w:r>
      <w:r>
        <w:rPr>
          <w:rFonts w:hint="eastAsia" w:ascii="仿宋" w:hAnsi="仿宋" w:eastAsia="仿宋" w:cs="仿宋"/>
          <w:b w:val="0"/>
          <w:bCs w:val="0"/>
          <w:sz w:val="32"/>
          <w:szCs w:val="32"/>
          <w:lang w:eastAsia="zh-CN"/>
        </w:rPr>
        <w:t>。</w:t>
      </w:r>
      <w:r>
        <w:rPr>
          <w:rFonts w:hint="eastAsia" w:ascii="仿宋" w:hAnsi="仿宋" w:eastAsia="仿宋" w:cs="仿宋"/>
          <w:sz w:val="32"/>
          <w:szCs w:val="24"/>
        </w:rPr>
        <w:t>全年官网累计发稿4048条</w:t>
      </w:r>
      <w:r>
        <w:rPr>
          <w:rFonts w:hint="eastAsia" w:ascii="仿宋" w:hAnsi="仿宋" w:eastAsia="仿宋" w:cs="仿宋"/>
          <w:sz w:val="32"/>
          <w:szCs w:val="24"/>
          <w:lang w:eastAsia="zh-CN"/>
        </w:rPr>
        <w:t>、</w:t>
      </w:r>
      <w:r>
        <w:rPr>
          <w:rFonts w:hint="eastAsia" w:ascii="仿宋" w:hAnsi="仿宋" w:eastAsia="仿宋" w:cs="仿宋"/>
          <w:sz w:val="32"/>
          <w:szCs w:val="24"/>
        </w:rPr>
        <w:t>今日头条861条</w:t>
      </w:r>
      <w:r>
        <w:rPr>
          <w:rFonts w:hint="eastAsia" w:ascii="仿宋" w:hAnsi="仿宋" w:eastAsia="仿宋" w:cs="仿宋"/>
          <w:sz w:val="32"/>
          <w:szCs w:val="24"/>
          <w:lang w:eastAsia="zh-CN"/>
        </w:rPr>
        <w:t>、</w:t>
      </w:r>
      <w:r>
        <w:rPr>
          <w:rFonts w:hint="eastAsia" w:ascii="仿宋" w:hAnsi="仿宋" w:eastAsia="仿宋" w:cs="仿宋"/>
          <w:sz w:val="32"/>
          <w:szCs w:val="24"/>
        </w:rPr>
        <w:t>微信842条，新闻资讯最高展现量 60.2万。发布百余个体育科普视频，推广科学健身理念。小程序累计注册用户52.77万人，累计访问量449.00万次，群众参与度显著提升。网站发布第十五届全运会新闻资讯578条，微信推送114条，今日头条推送147条，最高展现量54.1万。</w:t>
      </w:r>
      <w:r>
        <w:rPr>
          <w:rFonts w:hint="eastAsia" w:ascii="仿宋" w:hAnsi="仿宋" w:eastAsia="仿宋" w:cs="仿宋"/>
          <w:sz w:val="32"/>
          <w:szCs w:val="24"/>
          <w:lang w:eastAsia="zh-CN"/>
        </w:rPr>
        <w:t>官网</w:t>
      </w:r>
      <w:r>
        <w:rPr>
          <w:rFonts w:hint="eastAsia" w:ascii="仿宋" w:hAnsi="仿宋" w:eastAsia="仿宋" w:cs="仿宋"/>
          <w:sz w:val="32"/>
          <w:szCs w:val="24"/>
        </w:rPr>
        <w:t>增设</w:t>
      </w:r>
      <w:r>
        <w:rPr>
          <w:rFonts w:hint="eastAsia" w:ascii="仿宋" w:hAnsi="仿宋" w:eastAsia="仿宋" w:cs="仿宋"/>
          <w:sz w:val="32"/>
          <w:szCs w:val="24"/>
          <w:lang w:eastAsia="zh-CN"/>
        </w:rPr>
        <w:t>了</w:t>
      </w:r>
      <w:r>
        <w:rPr>
          <w:rFonts w:hint="eastAsia" w:ascii="仿宋" w:hAnsi="仿宋" w:eastAsia="仿宋" w:cs="仿宋"/>
          <w:sz w:val="32"/>
          <w:szCs w:val="24"/>
        </w:rPr>
        <w:t>学习贯彻党的二十届三中、四中全会精神、深入贯彻中央八项规定精神学习教育专题专栏，集中宣传报道省体育局党组理论学习中心组学习、各基层党组织干部理论学习，学习宣传贯彻党的二十届三中、四中全会精神、深入贯彻中央八项规定精神学习教育专题学习、集中研讨等情况。杜绝一切“假大空”和“低级红”“高级黑”等带有偏见或误导性的新闻宣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lang w:val="en-US" w:eastAsia="zh-CN"/>
        </w:rPr>
      </w:pPr>
      <w:r>
        <w:rPr>
          <w:rFonts w:hint="eastAsia" w:ascii="楷体" w:hAnsi="楷体" w:eastAsia="楷体" w:cs="楷体"/>
          <w:b/>
          <w:bCs/>
          <w:lang w:val="en-US" w:eastAsia="zh-CN"/>
        </w:rPr>
        <w:t>（二）政府信息依申请公开方面。</w:t>
      </w:r>
      <w:r>
        <w:rPr>
          <w:rFonts w:hint="eastAsia" w:ascii="仿宋" w:hAnsi="仿宋" w:eastAsia="仿宋" w:cs="仿宋"/>
          <w:lang w:val="en-US" w:eastAsia="zh-CN"/>
        </w:rPr>
        <w:t>2025年山西省体育局未收到依申请公开事项。全年未发生针对山西省体育局有关政府信息公开事务的行政复议案件、行政诉讼案件和有关的申诉案件。</w:t>
      </w:r>
    </w:p>
    <w:p>
      <w:pPr>
        <w:pStyle w:val="13"/>
        <w:keepNext w:val="0"/>
        <w:keepLines w:val="0"/>
        <w:pageBreakBefore w:val="0"/>
        <w:widowControl w:val="0"/>
        <w:kinsoku/>
        <w:wordWrap/>
        <w:overflowPunct/>
        <w:topLinePunct w:val="0"/>
        <w:autoSpaceDE/>
        <w:autoSpaceDN/>
        <w:bidi w:val="0"/>
        <w:adjustRightInd/>
        <w:snapToGrid/>
        <w:spacing w:after="0" w:line="540" w:lineRule="exact"/>
        <w:ind w:firstLine="642"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（三）政府信息公开平台建设方面。</w:t>
      </w:r>
      <w:r>
        <w:rPr>
          <w:rFonts w:hint="eastAsia" w:ascii="仿宋" w:hAnsi="仿宋" w:eastAsia="仿宋" w:cs="仿宋"/>
          <w:sz w:val="32"/>
          <w:szCs w:val="32"/>
        </w:rPr>
        <w:t>聚焦网络与信息安全，多措并举筑牢安全防线。制度层面，完善信息安全管理制度，严格监管数据采集、存储、传输、使用全流程，督促合作单位定期维护数字化设备，强化数据备份与容灾演练，保障系统稳定和数据安全。严格信息发布审核，加强舆情监测管控，规范网站及相关平台内容，保障信息权威准确。此外，发布倡议书抵制体育领域畸形“饭圈文化”，联动媒体、网信办等开展专项整治，维护体育竞赛纯粹性与专业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lang w:val="en-US" w:eastAsia="zh-CN"/>
        </w:rPr>
      </w:pPr>
      <w:r>
        <w:rPr>
          <w:rFonts w:hint="eastAsia" w:ascii="楷体" w:hAnsi="楷体" w:eastAsia="楷体" w:cs="楷体"/>
          <w:b/>
          <w:bCs/>
          <w:sz w:val="32"/>
          <w:szCs w:val="32"/>
          <w:lang w:val="en-US" w:eastAsia="zh-CN"/>
        </w:rPr>
        <w:t>（四）政府信息管理方面。</w:t>
      </w:r>
      <w:r>
        <w:rPr>
          <w:rFonts w:hint="eastAsia" w:ascii="仿宋" w:hAnsi="仿宋" w:eastAsia="仿宋" w:cs="仿宋"/>
          <w:b w:val="0"/>
          <w:bCs w:val="0"/>
          <w:sz w:val="32"/>
          <w:szCs w:val="32"/>
          <w:lang w:val="en-US" w:eastAsia="zh-CN"/>
        </w:rPr>
        <w:t>严格履行政府信息公开审批程序，持续强化公开信息内容管理，切实加强公开信息审核把关，同时做好动态信息更新维护工作，保证公开信息时效和质量，方便公众查询使用。</w:t>
      </w:r>
      <w:r>
        <w:rPr>
          <w:rFonts w:hint="eastAsia" w:ascii="仿宋" w:hAnsi="仿宋" w:eastAsia="仿宋" w:cs="仿宋"/>
          <w:sz w:val="32"/>
          <w:szCs w:val="32"/>
          <w:lang w:val="en-US" w:eastAsia="zh-CN"/>
        </w:rPr>
        <w:t>各类大型运动会期间坚决防范重大风险，密切关注赛场、舆论场动向，网站、微信公众号刊发内容准确无误，没有出现任何舆情。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textAlignment w:val="auto"/>
        <w:rPr>
          <w:rFonts w:hint="eastAsia" w:ascii="黑体" w:hAnsi="黑体" w:eastAsia="黑体" w:cs="黑体"/>
          <w:b/>
          <w:bCs/>
          <w:kern w:val="2"/>
          <w:sz w:val="32"/>
          <w:szCs w:val="32"/>
          <w:lang w:val="en-US" w:eastAsia="zh-CN" w:bidi="ar-SA"/>
        </w:rPr>
      </w:pPr>
      <w:r>
        <w:rPr>
          <w:rFonts w:hint="eastAsia" w:ascii="楷体" w:hAnsi="楷体" w:eastAsia="楷体" w:cs="楷体"/>
          <w:b/>
          <w:bCs/>
          <w:lang w:val="en-US" w:eastAsia="zh-CN"/>
        </w:rPr>
        <w:t>（五）监督保障方面。</w:t>
      </w:r>
      <w:r>
        <w:rPr>
          <w:rFonts w:hint="eastAsia" w:ascii="仿宋" w:hAnsi="仿宋" w:eastAsia="仿宋" w:cs="仿宋"/>
          <w:b w:val="0"/>
          <w:bCs w:val="0"/>
          <w:lang w:val="en-US" w:eastAsia="zh-CN"/>
        </w:rPr>
        <w:t>严格规范官网信息公开内容，杜绝栏目出现错别字和错链等现象。做好网民留言答复等线上政策咨询解答，加强互动交流。抓严抓实抓细新闻宣传报道，确保各项工作安全平稳有序进行。优化信息公开审查流程，确保政府信息公开各项要求落到实处。牢固树立高标准做好新闻宣传的政治意识、大局意识、责任意识，智者尽其谋，能者尽其力，发挥新媒体矩阵效能，加强与省内各大新闻媒体之间的沟通合作，高标准打造体育宣传高地, 多角度、大力度传播山西体育好声音，讲好山西体育故事。同时，加强网站、信息系统、新媒体等的安全防护，确保各项工作安全平稳有序进行。2025年未发生政府信息公开工作责任追究情况。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二、</w:t>
      </w:r>
      <w:r>
        <w:rPr>
          <w:rFonts w:hint="eastAsia" w:ascii="黑体" w:hAnsi="黑体" w:eastAsia="黑体" w:cs="黑体"/>
          <w:b/>
          <w:bCs/>
          <w:sz w:val="32"/>
          <w:szCs w:val="32"/>
        </w:rPr>
        <w:t>主动公开政府信息情况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黑体" w:hAnsi="黑体" w:eastAsia="黑体" w:cs="黑体"/>
          <w:b/>
          <w:bCs/>
          <w:sz w:val="32"/>
          <w:szCs w:val="32"/>
        </w:rPr>
      </w:pPr>
    </w:p>
    <w:tbl>
      <w:tblPr>
        <w:tblStyle w:val="6"/>
        <w:tblW w:w="8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05"/>
        <w:gridCol w:w="2286"/>
        <w:gridCol w:w="2435"/>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8366"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000000"/>
                <w:kern w:val="0"/>
                <w:sz w:val="28"/>
                <w:szCs w:val="28"/>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286"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04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2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color w:val="000000"/>
                <w:kern w:val="0"/>
                <w:sz w:val="20"/>
                <w:szCs w:val="20"/>
                <w:lang w:val="en-US" w:eastAsia="zh-CN" w:bidi="ar"/>
              </w:rPr>
              <w:t>0</w:t>
            </w:r>
          </w:p>
        </w:tc>
        <w:tc>
          <w:tcPr>
            <w:tcW w:w="204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2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204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8366"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000000"/>
                <w:kern w:val="0"/>
                <w:sz w:val="28"/>
                <w:szCs w:val="28"/>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76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76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8366"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000000"/>
                <w:kern w:val="0"/>
                <w:sz w:val="28"/>
                <w:szCs w:val="28"/>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761"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76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76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jc w:val="center"/>
        </w:trPr>
        <w:tc>
          <w:tcPr>
            <w:tcW w:w="8366"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000000"/>
                <w:kern w:val="0"/>
                <w:sz w:val="28"/>
                <w:szCs w:val="28"/>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761"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6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761"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rPr>
      </w:pPr>
    </w:p>
    <w:p>
      <w:pPr>
        <w:numPr>
          <w:ilvl w:val="0"/>
          <w:numId w:val="0"/>
        </w:numPr>
        <w:spacing w:line="560" w:lineRule="exact"/>
        <w:ind w:left="0" w:leftChars="0" w:firstLine="642" w:firstLineChars="200"/>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b/>
          <w:bCs/>
          <w:sz w:val="32"/>
          <w:szCs w:val="32"/>
        </w:rPr>
        <w:t>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w:t>
      </w:r>
    </w:p>
    <w:tbl>
      <w:tblPr>
        <w:tblStyle w:val="6"/>
        <w:tblW w:w="8328" w:type="dxa"/>
        <w:jc w:val="center"/>
        <w:tblLayout w:type="fixed"/>
        <w:tblCellMar>
          <w:top w:w="0" w:type="dxa"/>
          <w:left w:w="0" w:type="dxa"/>
          <w:bottom w:w="0" w:type="dxa"/>
          <w:right w:w="0" w:type="dxa"/>
        </w:tblCellMar>
      </w:tblPr>
      <w:tblGrid>
        <w:gridCol w:w="616"/>
        <w:gridCol w:w="917"/>
        <w:gridCol w:w="1731"/>
        <w:gridCol w:w="628"/>
        <w:gridCol w:w="750"/>
        <w:gridCol w:w="715"/>
        <w:gridCol w:w="894"/>
        <w:gridCol w:w="777"/>
        <w:gridCol w:w="684"/>
        <w:gridCol w:w="616"/>
      </w:tblGrid>
      <w:tr>
        <w:tblPrEx>
          <w:tblCellMar>
            <w:top w:w="0" w:type="dxa"/>
            <w:left w:w="0" w:type="dxa"/>
            <w:bottom w:w="0" w:type="dxa"/>
            <w:right w:w="0" w:type="dxa"/>
          </w:tblCellMar>
        </w:tblPrEx>
        <w:trPr>
          <w:jc w:val="center"/>
        </w:trPr>
        <w:tc>
          <w:tcPr>
            <w:tcW w:w="326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（本列数据的勾稽关系为：第一项加第二项之和，等于第三项加第四项之和）</w:t>
            </w:r>
          </w:p>
        </w:tc>
        <w:tc>
          <w:tcPr>
            <w:tcW w:w="506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申请人情况</w:t>
            </w:r>
          </w:p>
        </w:tc>
      </w:tr>
      <w:tr>
        <w:tblPrEx>
          <w:tblCellMar>
            <w:top w:w="0" w:type="dxa"/>
            <w:left w:w="0" w:type="dxa"/>
            <w:bottom w:w="0" w:type="dxa"/>
            <w:right w:w="0" w:type="dxa"/>
          </w:tblCellMar>
        </w:tblPrEx>
        <w:trPr>
          <w:jc w:val="center"/>
        </w:trPr>
        <w:tc>
          <w:tcPr>
            <w:tcW w:w="326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kern w:val="0"/>
                <w:sz w:val="24"/>
                <w:szCs w:val="24"/>
              </w:rPr>
            </w:pPr>
          </w:p>
        </w:tc>
        <w:tc>
          <w:tcPr>
            <w:tcW w:w="62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自然人</w:t>
            </w:r>
          </w:p>
        </w:tc>
        <w:tc>
          <w:tcPr>
            <w:tcW w:w="382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法人或其他组织</w:t>
            </w:r>
          </w:p>
        </w:tc>
        <w:tc>
          <w:tcPr>
            <w:tcW w:w="6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总计</w:t>
            </w:r>
          </w:p>
        </w:tc>
      </w:tr>
      <w:tr>
        <w:tblPrEx>
          <w:tblCellMar>
            <w:top w:w="0" w:type="dxa"/>
            <w:left w:w="0" w:type="dxa"/>
            <w:bottom w:w="0" w:type="dxa"/>
            <w:right w:w="0" w:type="dxa"/>
          </w:tblCellMar>
        </w:tblPrEx>
        <w:trPr>
          <w:jc w:val="center"/>
        </w:trPr>
        <w:tc>
          <w:tcPr>
            <w:tcW w:w="326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kern w:val="0"/>
                <w:sz w:val="24"/>
                <w:szCs w:val="24"/>
              </w:rPr>
            </w:pPr>
          </w:p>
        </w:tc>
        <w:tc>
          <w:tcPr>
            <w:tcW w:w="628"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b/>
                <w:bCs/>
                <w:kern w:val="0"/>
                <w:sz w:val="24"/>
                <w:szCs w:val="24"/>
              </w:rPr>
            </w:pP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商业企业</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科研机构</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社会公益组织</w:t>
            </w:r>
          </w:p>
        </w:tc>
        <w:tc>
          <w:tcPr>
            <w:tcW w:w="7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法律服务机构</w:t>
            </w:r>
          </w:p>
        </w:tc>
        <w:tc>
          <w:tcPr>
            <w:tcW w:w="6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其</w:t>
            </w: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他</w:t>
            </w:r>
          </w:p>
        </w:tc>
        <w:tc>
          <w:tcPr>
            <w:tcW w:w="61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590" w:hRule="atLeast"/>
          <w:jc w:val="center"/>
        </w:trPr>
        <w:tc>
          <w:tcPr>
            <w:tcW w:w="326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一、本年新收政府信息公开申请数量</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r>
      <w:tr>
        <w:tblPrEx>
          <w:tblCellMar>
            <w:top w:w="0" w:type="dxa"/>
            <w:left w:w="0" w:type="dxa"/>
            <w:bottom w:w="0" w:type="dxa"/>
            <w:right w:w="0" w:type="dxa"/>
          </w:tblCellMar>
        </w:tblPrEx>
        <w:trPr>
          <w:trHeight w:val="644" w:hRule="atLeast"/>
          <w:jc w:val="center"/>
        </w:trPr>
        <w:tc>
          <w:tcPr>
            <w:tcW w:w="326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二、上年结转政府信息公开申请数量</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ascii="Calibri" w:hAnsi="Calibri" w:eastAsia="宋体" w:cs="Calibri"/>
                <w:kern w:val="0"/>
                <w:sz w:val="24"/>
                <w:szCs w:val="24"/>
              </w:rPr>
              <w:t>0</w:t>
            </w:r>
          </w:p>
        </w:tc>
      </w:tr>
      <w:tr>
        <w:tblPrEx>
          <w:tblCellMar>
            <w:top w:w="0" w:type="dxa"/>
            <w:left w:w="0" w:type="dxa"/>
            <w:bottom w:w="0" w:type="dxa"/>
            <w:right w:w="0" w:type="dxa"/>
          </w:tblCellMar>
        </w:tblPrEx>
        <w:trPr>
          <w:trHeight w:val="457" w:hRule="atLeast"/>
          <w:jc w:val="center"/>
        </w:trPr>
        <w:tc>
          <w:tcPr>
            <w:tcW w:w="61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宋体" w:hAnsi="宋体" w:eastAsia="宋体" w:cs="宋体"/>
                <w:b/>
                <w:bCs/>
                <w:kern w:val="0"/>
                <w:sz w:val="24"/>
                <w:szCs w:val="24"/>
              </w:rPr>
              <w:t>三、本年度办理结果</w:t>
            </w:r>
          </w:p>
        </w:tc>
        <w:tc>
          <w:tcPr>
            <w:tcW w:w="26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（一）予以公开</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blPrEx>
          <w:tblCellMar>
            <w:top w:w="0" w:type="dxa"/>
            <w:left w:w="0" w:type="dxa"/>
            <w:bottom w:w="0" w:type="dxa"/>
            <w:right w:w="0" w:type="dxa"/>
          </w:tblCellMar>
        </w:tblPrEx>
        <w:trPr>
          <w:trHeight w:val="803"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26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（二）部分公开（区分处理的，只计这一情形，不计其他情形）</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631"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both"/>
              <w:rPr>
                <w:rFonts w:ascii="楷体" w:hAnsi="楷体" w:eastAsia="楷体" w:cs="宋体"/>
                <w:kern w:val="0"/>
                <w:sz w:val="24"/>
                <w:szCs w:val="24"/>
              </w:rPr>
            </w:pPr>
            <w:r>
              <w:rPr>
                <w:rFonts w:hint="eastAsia" w:ascii="楷体" w:hAnsi="楷体" w:eastAsia="楷体" w:cs="宋体"/>
                <w:kern w:val="0"/>
                <w:sz w:val="24"/>
                <w:szCs w:val="24"/>
              </w:rPr>
              <w:t>（三）</w:t>
            </w:r>
          </w:p>
          <w:p>
            <w:pPr>
              <w:widowControl/>
              <w:spacing w:line="240" w:lineRule="exact"/>
              <w:jc w:val="center"/>
              <w:rPr>
                <w:rFonts w:ascii="楷体" w:hAnsi="楷体" w:eastAsia="楷体" w:cs="宋体"/>
                <w:kern w:val="0"/>
                <w:sz w:val="24"/>
                <w:szCs w:val="24"/>
              </w:rPr>
            </w:pP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不</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予</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公</w:t>
            </w:r>
          </w:p>
          <w:p>
            <w:pPr>
              <w:widowControl/>
              <w:spacing w:line="240" w:lineRule="exact"/>
              <w:jc w:val="center"/>
              <w:rPr>
                <w:rFonts w:ascii="宋体" w:hAnsi="宋体" w:eastAsia="宋体" w:cs="宋体"/>
                <w:kern w:val="0"/>
                <w:sz w:val="24"/>
                <w:szCs w:val="24"/>
              </w:rPr>
            </w:pPr>
            <w:r>
              <w:rPr>
                <w:rFonts w:hint="eastAsia" w:ascii="楷体" w:hAnsi="楷体" w:eastAsia="楷体" w:cs="宋体"/>
                <w:kern w:val="0"/>
                <w:sz w:val="24"/>
                <w:szCs w:val="24"/>
              </w:rPr>
              <w:t>开</w:t>
            </w: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1.属于国家秘密</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871"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2.其他法律行政法规禁止公开</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603"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3.危及“三安全一稳定”</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685"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4.保护第三方合法权益</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775"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5.属于三类内部事务信息</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blPrEx>
          <w:tblCellMar>
            <w:top w:w="0" w:type="dxa"/>
            <w:left w:w="0" w:type="dxa"/>
            <w:bottom w:w="0" w:type="dxa"/>
            <w:right w:w="0" w:type="dxa"/>
          </w:tblCellMar>
        </w:tblPrEx>
        <w:trPr>
          <w:trHeight w:val="775"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6.属于四类过程性信息</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666"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7.属于行政执法案卷</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blPrEx>
          <w:tblCellMar>
            <w:top w:w="0" w:type="dxa"/>
            <w:left w:w="0" w:type="dxa"/>
            <w:bottom w:w="0" w:type="dxa"/>
            <w:right w:w="0" w:type="dxa"/>
          </w:tblCellMar>
        </w:tblPrEx>
        <w:trPr>
          <w:trHeight w:val="802"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8.属于行政查询事项</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rPr>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（四）</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无</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法</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提</w:t>
            </w:r>
          </w:p>
          <w:p>
            <w:pPr>
              <w:widowControl/>
              <w:spacing w:line="240" w:lineRule="exact"/>
              <w:jc w:val="center"/>
              <w:rPr>
                <w:rFonts w:ascii="宋体" w:hAnsi="宋体" w:eastAsia="宋体" w:cs="宋体"/>
                <w:kern w:val="0"/>
                <w:sz w:val="24"/>
                <w:szCs w:val="24"/>
              </w:rPr>
            </w:pPr>
            <w:r>
              <w:rPr>
                <w:rFonts w:hint="eastAsia" w:ascii="楷体" w:hAnsi="楷体" w:eastAsia="楷体" w:cs="宋体"/>
                <w:kern w:val="0"/>
                <w:sz w:val="24"/>
                <w:szCs w:val="24"/>
              </w:rPr>
              <w:t>供</w:t>
            </w: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1.本机关不掌握相关政府信息</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947"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2.没有现成信息需要另行制作</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665"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center"/>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3.补正后申请内容仍不明确</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blPrEx>
          <w:tblCellMar>
            <w:top w:w="0" w:type="dxa"/>
            <w:left w:w="0" w:type="dxa"/>
            <w:bottom w:w="0" w:type="dxa"/>
            <w:right w:w="0" w:type="dxa"/>
          </w:tblCellMar>
        </w:tblPrEx>
        <w:trPr>
          <w:trHeight w:val="639"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（五）不</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予</w:t>
            </w:r>
          </w:p>
          <w:p>
            <w:pPr>
              <w:widowControl/>
              <w:spacing w:line="240" w:lineRule="exact"/>
              <w:jc w:val="center"/>
              <w:rPr>
                <w:rFonts w:ascii="楷体" w:hAnsi="楷体" w:eastAsia="楷体" w:cs="宋体"/>
                <w:kern w:val="0"/>
                <w:sz w:val="24"/>
                <w:szCs w:val="24"/>
              </w:rPr>
            </w:pPr>
            <w:r>
              <w:rPr>
                <w:rFonts w:hint="eastAsia" w:ascii="楷体" w:hAnsi="楷体" w:eastAsia="楷体" w:cs="宋体"/>
                <w:kern w:val="0"/>
                <w:sz w:val="24"/>
                <w:szCs w:val="24"/>
              </w:rPr>
              <w:t>处</w:t>
            </w:r>
          </w:p>
          <w:p>
            <w:pPr>
              <w:widowControl/>
              <w:spacing w:line="240" w:lineRule="exact"/>
              <w:jc w:val="center"/>
              <w:rPr>
                <w:rFonts w:ascii="宋体" w:hAnsi="宋体" w:eastAsia="宋体" w:cs="宋体"/>
                <w:kern w:val="0"/>
                <w:sz w:val="24"/>
                <w:szCs w:val="24"/>
              </w:rPr>
            </w:pPr>
            <w:r>
              <w:rPr>
                <w:rFonts w:hint="eastAsia" w:ascii="楷体" w:hAnsi="楷体" w:eastAsia="楷体" w:cs="宋体"/>
                <w:kern w:val="0"/>
                <w:sz w:val="24"/>
                <w:szCs w:val="24"/>
              </w:rPr>
              <w:t>理</w:t>
            </w: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1.信访举报投诉类申请</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blPrEx>
          <w:tblCellMar>
            <w:top w:w="0" w:type="dxa"/>
            <w:left w:w="0" w:type="dxa"/>
            <w:bottom w:w="0" w:type="dxa"/>
            <w:right w:w="0" w:type="dxa"/>
          </w:tblCellMar>
        </w:tblPrEx>
        <w:trPr>
          <w:trHeight w:val="507"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2.重复申请</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733"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3.要求提供公开出版物</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r>
      <w:tr>
        <w:tblPrEx>
          <w:tblCellMar>
            <w:top w:w="0" w:type="dxa"/>
            <w:left w:w="0" w:type="dxa"/>
            <w:bottom w:w="0" w:type="dxa"/>
            <w:right w:w="0" w:type="dxa"/>
          </w:tblCellMar>
        </w:tblPrEx>
        <w:trPr>
          <w:trHeight w:val="760"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4.无正当理由大量反复申请</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1213"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917" w:type="dxa"/>
            <w:vMerge w:val="continue"/>
            <w:tcBorders>
              <w:top w:val="nil"/>
              <w:left w:val="nil"/>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17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5.要求行政机关确认或重新出具已获取信息</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567"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26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（六）其他处理</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default" w:ascii="Calibri" w:hAnsi="Calibri" w:eastAsia="宋体" w:cs="Calibri"/>
                <w:kern w:val="0"/>
                <w:sz w:val="24"/>
                <w:szCs w:val="24"/>
                <w:lang w:val="en-US" w:eastAsia="zh-CN"/>
              </w:rPr>
              <w:t xml:space="preserve"> </w:t>
            </w: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622" w:hRule="atLeast"/>
          <w:jc w:val="center"/>
        </w:trPr>
        <w:tc>
          <w:tcPr>
            <w:tcW w:w="616" w:type="dxa"/>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hAnsi="宋体" w:eastAsia="宋体" w:cs="宋体"/>
                <w:kern w:val="0"/>
                <w:sz w:val="24"/>
                <w:szCs w:val="24"/>
              </w:rPr>
            </w:pPr>
          </w:p>
        </w:tc>
        <w:tc>
          <w:tcPr>
            <w:tcW w:w="264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rFonts w:ascii="宋体" w:hAnsi="宋体" w:eastAsia="宋体" w:cs="宋体"/>
                <w:kern w:val="0"/>
                <w:sz w:val="24"/>
                <w:szCs w:val="24"/>
              </w:rPr>
            </w:pPr>
            <w:r>
              <w:rPr>
                <w:rFonts w:hint="eastAsia" w:ascii="楷体" w:hAnsi="楷体" w:eastAsia="楷体" w:cs="宋体"/>
                <w:kern w:val="0"/>
                <w:sz w:val="24"/>
                <w:szCs w:val="24"/>
              </w:rPr>
              <w:t>（七）总计</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4"/>
                <w:szCs w:val="24"/>
                <w:lang w:val="en-US" w:eastAsia="zh-CN"/>
              </w:rPr>
            </w:pPr>
            <w:r>
              <w:rPr>
                <w:rFonts w:ascii="Calibri" w:hAnsi="Calibri" w:eastAsia="宋体" w:cs="Calibri"/>
                <w:kern w:val="0"/>
                <w:sz w:val="24"/>
                <w:szCs w:val="24"/>
              </w:rPr>
              <w:t> </w:t>
            </w:r>
            <w:r>
              <w:rPr>
                <w:rFonts w:hint="eastAsia" w:ascii="Calibri" w:hAnsi="Calibri" w:eastAsia="宋体" w:cs="Calibri"/>
                <w:kern w:val="0"/>
                <w:sz w:val="24"/>
                <w:szCs w:val="24"/>
                <w:lang w:val="en-US" w:eastAsia="zh-CN"/>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kern w:val="0"/>
                <w:sz w:val="24"/>
                <w:szCs w:val="24"/>
              </w:rPr>
            </w:pPr>
            <w:r>
              <w:rPr>
                <w:rFonts w:hint="eastAsia" w:ascii="Calibri" w:hAnsi="Calibri" w:eastAsia="宋体" w:cs="Calibri"/>
                <w:kern w:val="0"/>
                <w:sz w:val="24"/>
                <w:szCs w:val="24"/>
                <w:lang w:val="en-US" w:eastAsia="zh-CN"/>
              </w:rPr>
              <w:t>0</w:t>
            </w:r>
            <w:r>
              <w:rPr>
                <w:rFonts w:ascii="Calibri" w:hAnsi="Calibri" w:eastAsia="宋体" w:cs="Calibri"/>
                <w:kern w:val="0"/>
                <w:sz w:val="24"/>
                <w:szCs w:val="24"/>
              </w:rPr>
              <w:t> </w:t>
            </w:r>
          </w:p>
        </w:tc>
      </w:tr>
      <w:tr>
        <w:tblPrEx>
          <w:tblCellMar>
            <w:top w:w="0" w:type="dxa"/>
            <w:left w:w="0" w:type="dxa"/>
            <w:bottom w:w="0" w:type="dxa"/>
            <w:right w:w="0" w:type="dxa"/>
          </w:tblCellMar>
        </w:tblPrEx>
        <w:trPr>
          <w:trHeight w:val="956" w:hRule="atLeast"/>
          <w:jc w:val="center"/>
        </w:trPr>
        <w:tc>
          <w:tcPr>
            <w:tcW w:w="326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四、</w:t>
            </w:r>
            <w:r>
              <w:rPr>
                <w:rFonts w:hint="eastAsia" w:ascii="宋体" w:hAnsi="宋体" w:eastAsia="宋体" w:cs="宋体"/>
                <w:b/>
                <w:bCs/>
                <w:kern w:val="0"/>
                <w:sz w:val="28"/>
                <w:szCs w:val="28"/>
              </w:rPr>
              <w:t>结转下年度</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rPr>
              <w:t>继续办理</w:t>
            </w:r>
          </w:p>
        </w:tc>
        <w:tc>
          <w:tcPr>
            <w:tcW w:w="62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c>
          <w:tcPr>
            <w:tcW w:w="8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c>
          <w:tcPr>
            <w:tcW w:w="77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c>
          <w:tcPr>
            <w:tcW w:w="61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b w:val="0"/>
                <w:bCs w:val="0"/>
                <w:kern w:val="0"/>
                <w:sz w:val="24"/>
                <w:szCs w:val="24"/>
              </w:rPr>
            </w:pPr>
            <w:r>
              <w:rPr>
                <w:rFonts w:ascii="Calibri" w:hAnsi="Calibri" w:eastAsia="宋体" w:cs="Calibri"/>
                <w:b w:val="0"/>
                <w:bCs w:val="0"/>
                <w:kern w:val="0"/>
                <w:sz w:val="24"/>
                <w:szCs w:val="24"/>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2" w:firstLineChars="200"/>
        <w:textAlignment w:val="auto"/>
        <w:rPr>
          <w:rFonts w:hint="eastAsia" w:ascii="黑体" w:hAnsi="黑体" w:eastAsia="黑体" w:cs="黑体"/>
          <w:b/>
          <w:bCs/>
          <w:kern w:val="2"/>
          <w:sz w:val="32"/>
          <w:szCs w:val="32"/>
          <w:lang w:val="en-US" w:eastAsia="zh-CN" w:bidi="ar-SA"/>
        </w:rPr>
      </w:pPr>
    </w:p>
    <w:p>
      <w:pPr>
        <w:numPr>
          <w:ilvl w:val="0"/>
          <w:numId w:val="0"/>
        </w:numPr>
        <w:spacing w:line="560" w:lineRule="exact"/>
        <w:ind w:firstLine="642" w:firstLineChars="200"/>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四、</w:t>
      </w:r>
      <w:r>
        <w:rPr>
          <w:rFonts w:hint="eastAsia" w:ascii="黑体" w:hAnsi="黑体" w:eastAsia="黑体" w:cs="黑体"/>
          <w:b/>
          <w:bCs/>
          <w:sz w:val="32"/>
          <w:szCs w:val="32"/>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w:t>
      </w:r>
    </w:p>
    <w:tbl>
      <w:tblPr>
        <w:tblStyle w:val="6"/>
        <w:tblW w:w="8188" w:type="dxa"/>
        <w:jc w:val="center"/>
        <w:tblLayout w:type="fixed"/>
        <w:tblCellMar>
          <w:top w:w="0" w:type="dxa"/>
          <w:left w:w="0" w:type="dxa"/>
          <w:bottom w:w="0" w:type="dxa"/>
          <w:right w:w="0" w:type="dxa"/>
        </w:tblCellMar>
      </w:tblPr>
      <w:tblGrid>
        <w:gridCol w:w="457"/>
        <w:gridCol w:w="587"/>
        <w:gridCol w:w="587"/>
        <w:gridCol w:w="588"/>
        <w:gridCol w:w="510"/>
        <w:gridCol w:w="555"/>
        <w:gridCol w:w="555"/>
        <w:gridCol w:w="510"/>
        <w:gridCol w:w="615"/>
        <w:gridCol w:w="510"/>
        <w:gridCol w:w="525"/>
        <w:gridCol w:w="570"/>
        <w:gridCol w:w="555"/>
        <w:gridCol w:w="546"/>
        <w:gridCol w:w="518"/>
      </w:tblGrid>
      <w:tr>
        <w:tblPrEx>
          <w:tblCellMar>
            <w:top w:w="0" w:type="dxa"/>
            <w:left w:w="0" w:type="dxa"/>
            <w:bottom w:w="0" w:type="dxa"/>
            <w:right w:w="0" w:type="dxa"/>
          </w:tblCellMar>
        </w:tblPrEx>
        <w:trPr>
          <w:jc w:val="center"/>
        </w:trPr>
        <w:tc>
          <w:tcPr>
            <w:tcW w:w="2729"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行政复议</w:t>
            </w:r>
          </w:p>
        </w:tc>
        <w:tc>
          <w:tcPr>
            <w:tcW w:w="5459"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行政诉讼</w:t>
            </w:r>
          </w:p>
        </w:tc>
      </w:tr>
      <w:tr>
        <w:tblPrEx>
          <w:tblCellMar>
            <w:top w:w="0" w:type="dxa"/>
            <w:left w:w="0" w:type="dxa"/>
            <w:bottom w:w="0" w:type="dxa"/>
            <w:right w:w="0" w:type="dxa"/>
          </w:tblCellMar>
        </w:tblPrEx>
        <w:trPr>
          <w:jc w:val="center"/>
        </w:trPr>
        <w:tc>
          <w:tcPr>
            <w:tcW w:w="45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结果维持</w:t>
            </w:r>
          </w:p>
        </w:tc>
        <w:tc>
          <w:tcPr>
            <w:tcW w:w="58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结果纠正</w:t>
            </w:r>
          </w:p>
        </w:tc>
        <w:tc>
          <w:tcPr>
            <w:tcW w:w="58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其他结果</w:t>
            </w:r>
          </w:p>
        </w:tc>
        <w:tc>
          <w:tcPr>
            <w:tcW w:w="58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尚未审结</w:t>
            </w:r>
          </w:p>
        </w:tc>
        <w:tc>
          <w:tcPr>
            <w:tcW w:w="51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总计</w:t>
            </w:r>
          </w:p>
        </w:tc>
        <w:tc>
          <w:tcPr>
            <w:tcW w:w="274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未经复议直接起诉</w:t>
            </w:r>
          </w:p>
        </w:tc>
        <w:tc>
          <w:tcPr>
            <w:tcW w:w="271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复议后起诉</w:t>
            </w:r>
          </w:p>
        </w:tc>
      </w:tr>
      <w:tr>
        <w:tblPrEx>
          <w:tblCellMar>
            <w:top w:w="0" w:type="dxa"/>
            <w:left w:w="0" w:type="dxa"/>
            <w:bottom w:w="0" w:type="dxa"/>
            <w:right w:w="0" w:type="dxa"/>
          </w:tblCellMar>
        </w:tblPrEx>
        <w:trPr>
          <w:jc w:val="center"/>
        </w:trPr>
        <w:tc>
          <w:tcPr>
            <w:tcW w:w="457"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eastAsia="宋体" w:cs="宋体"/>
                <w:b/>
                <w:bCs/>
                <w:kern w:val="0"/>
                <w:sz w:val="28"/>
                <w:szCs w:val="28"/>
              </w:rPr>
            </w:pPr>
          </w:p>
        </w:tc>
        <w:tc>
          <w:tcPr>
            <w:tcW w:w="587" w:type="dxa"/>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eastAsia="宋体" w:cs="宋体"/>
                <w:b/>
                <w:bCs/>
                <w:kern w:val="0"/>
                <w:sz w:val="28"/>
                <w:szCs w:val="28"/>
              </w:rPr>
            </w:pPr>
          </w:p>
        </w:tc>
        <w:tc>
          <w:tcPr>
            <w:tcW w:w="587"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eastAsia="宋体" w:cs="宋体"/>
                <w:b/>
                <w:bCs/>
                <w:kern w:val="0"/>
                <w:sz w:val="28"/>
                <w:szCs w:val="28"/>
              </w:rPr>
            </w:pPr>
          </w:p>
        </w:tc>
        <w:tc>
          <w:tcPr>
            <w:tcW w:w="588"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eastAsia="宋体" w:cs="宋体"/>
                <w:b/>
                <w:bCs/>
                <w:kern w:val="0"/>
                <w:sz w:val="28"/>
                <w:szCs w:val="28"/>
              </w:rPr>
            </w:pPr>
          </w:p>
        </w:tc>
        <w:tc>
          <w:tcPr>
            <w:tcW w:w="51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eastAsia="宋体" w:cs="宋体"/>
                <w:b/>
                <w:bCs/>
                <w:kern w:val="0"/>
                <w:sz w:val="28"/>
                <w:szCs w:val="28"/>
              </w:rPr>
            </w:pP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结果维持</w:t>
            </w: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结果纠正</w:t>
            </w:r>
          </w:p>
        </w:tc>
        <w:tc>
          <w:tcPr>
            <w:tcW w:w="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其他结果</w:t>
            </w:r>
          </w:p>
        </w:tc>
        <w:tc>
          <w:tcPr>
            <w:tcW w:w="6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尚未审结</w:t>
            </w:r>
          </w:p>
        </w:tc>
        <w:tc>
          <w:tcPr>
            <w:tcW w:w="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color w:val="000000"/>
                <w:kern w:val="0"/>
                <w:sz w:val="28"/>
                <w:szCs w:val="28"/>
              </w:rPr>
              <w:t>总计</w:t>
            </w:r>
          </w:p>
        </w:tc>
        <w:tc>
          <w:tcPr>
            <w:tcW w:w="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结果维持</w:t>
            </w:r>
          </w:p>
        </w:tc>
        <w:tc>
          <w:tcPr>
            <w:tcW w:w="5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结果纠正</w:t>
            </w:r>
          </w:p>
        </w:tc>
        <w:tc>
          <w:tcPr>
            <w:tcW w:w="5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color w:val="000000"/>
                <w:kern w:val="0"/>
                <w:sz w:val="28"/>
                <w:szCs w:val="28"/>
              </w:rPr>
              <w:t>其他结果</w:t>
            </w:r>
          </w:p>
        </w:tc>
        <w:tc>
          <w:tcPr>
            <w:tcW w:w="5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kern w:val="0"/>
                <w:sz w:val="28"/>
                <w:szCs w:val="28"/>
              </w:rPr>
              <w:t>尚未审结</w:t>
            </w:r>
          </w:p>
        </w:tc>
        <w:tc>
          <w:tcPr>
            <w:tcW w:w="5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bCs/>
                <w:kern w:val="0"/>
                <w:sz w:val="28"/>
                <w:szCs w:val="28"/>
              </w:rPr>
            </w:pPr>
            <w:r>
              <w:rPr>
                <w:rFonts w:hint="eastAsia" w:ascii="宋体" w:hAnsi="宋体" w:eastAsia="宋体" w:cs="宋体"/>
                <w:b/>
                <w:bCs/>
                <w:color w:val="000000"/>
                <w:kern w:val="0"/>
                <w:sz w:val="28"/>
                <w:szCs w:val="28"/>
              </w:rPr>
              <w:t>总计</w:t>
            </w:r>
          </w:p>
        </w:tc>
      </w:tr>
      <w:tr>
        <w:tblPrEx>
          <w:tblCellMar>
            <w:top w:w="0" w:type="dxa"/>
            <w:left w:w="0" w:type="dxa"/>
            <w:bottom w:w="0" w:type="dxa"/>
            <w:right w:w="0" w:type="dxa"/>
          </w:tblCellMar>
        </w:tblPrEx>
        <w:trPr>
          <w:jc w:val="center"/>
        </w:trPr>
        <w:tc>
          <w:tcPr>
            <w:tcW w:w="45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0</w:t>
            </w:r>
          </w:p>
        </w:tc>
        <w:tc>
          <w:tcPr>
            <w:tcW w:w="58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0</w:t>
            </w:r>
          </w:p>
        </w:tc>
        <w:tc>
          <w:tcPr>
            <w:tcW w:w="58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0</w:t>
            </w:r>
          </w:p>
        </w:tc>
        <w:tc>
          <w:tcPr>
            <w:tcW w:w="58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0</w:t>
            </w:r>
          </w:p>
        </w:tc>
        <w:tc>
          <w:tcPr>
            <w:tcW w:w="5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0</w:t>
            </w: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5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61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5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color w:val="000000"/>
                <w:kern w:val="0"/>
                <w:sz w:val="28"/>
                <w:szCs w:val="28"/>
              </w:rPr>
              <w:t>0</w:t>
            </w:r>
          </w:p>
        </w:tc>
        <w:tc>
          <w:tcPr>
            <w:tcW w:w="5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57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color w:val="000000"/>
                <w:kern w:val="0"/>
                <w:sz w:val="28"/>
                <w:szCs w:val="28"/>
              </w:rPr>
              <w:t>0</w:t>
            </w:r>
          </w:p>
        </w:tc>
        <w:tc>
          <w:tcPr>
            <w:tcW w:w="5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ascii="宋体" w:hAnsi="宋体" w:eastAsia="宋体" w:cs="宋体"/>
                <w:kern w:val="0"/>
                <w:sz w:val="28"/>
                <w:szCs w:val="28"/>
              </w:rPr>
              <w:t>0</w:t>
            </w:r>
          </w:p>
        </w:tc>
        <w:tc>
          <w:tcPr>
            <w:tcW w:w="51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kern w:val="0"/>
                <w:sz w:val="28"/>
                <w:szCs w:val="28"/>
              </w:rPr>
            </w:pPr>
            <w:r>
              <w:rPr>
                <w:rFonts w:hint="eastAsia" w:ascii="宋体" w:hAnsi="宋体" w:eastAsia="宋体" w:cs="宋体"/>
                <w:kern w:val="0"/>
                <w:sz w:val="28"/>
                <w:szCs w:val="28"/>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2" w:firstLineChars="200"/>
        <w:textAlignment w:val="auto"/>
        <w:rPr>
          <w:rFonts w:hint="eastAsia" w:ascii="黑体" w:hAnsi="黑体" w:eastAsia="黑体" w:cs="黑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我</w:t>
      </w:r>
      <w:r>
        <w:rPr>
          <w:rFonts w:hint="eastAsia" w:ascii="仿宋" w:hAnsi="仿宋" w:eastAsia="仿宋" w:cs="仿宋"/>
          <w:sz w:val="32"/>
          <w:szCs w:val="32"/>
        </w:rPr>
        <w:t>局在政务公开工作取得了一定的成绩，但工作还存在不足</w:t>
      </w:r>
      <w:r>
        <w:rPr>
          <w:rFonts w:hint="eastAsia" w:ascii="仿宋" w:hAnsi="仿宋" w:eastAsia="仿宋" w:cs="仿宋"/>
          <w:sz w:val="32"/>
          <w:szCs w:val="32"/>
          <w:lang w:eastAsia="zh-CN"/>
        </w:rPr>
        <w:t>。一是某些</w:t>
      </w:r>
      <w:r>
        <w:rPr>
          <w:rFonts w:hint="eastAsia" w:ascii="仿宋" w:hAnsi="仿宋" w:eastAsia="仿宋" w:cs="仿宋"/>
          <w:sz w:val="32"/>
          <w:szCs w:val="32"/>
        </w:rPr>
        <w:t>政策解读的深度和广度还需进一步拓展</w:t>
      </w:r>
      <w:r>
        <w:rPr>
          <w:rFonts w:hint="eastAsia" w:ascii="仿宋" w:hAnsi="仿宋" w:eastAsia="仿宋" w:cs="仿宋"/>
          <w:sz w:val="32"/>
          <w:szCs w:val="32"/>
          <w:lang w:eastAsia="zh-CN"/>
        </w:rPr>
        <w:t>。二是</w:t>
      </w:r>
      <w:r>
        <w:rPr>
          <w:rFonts w:hint="eastAsia" w:ascii="仿宋" w:hAnsi="仿宋" w:eastAsia="仿宋" w:cs="仿宋"/>
          <w:sz w:val="32"/>
          <w:szCs w:val="32"/>
        </w:rPr>
        <w:t>公开</w:t>
      </w:r>
      <w:r>
        <w:rPr>
          <w:rFonts w:hint="eastAsia" w:ascii="仿宋" w:hAnsi="仿宋" w:eastAsia="仿宋" w:cs="仿宋"/>
          <w:sz w:val="32"/>
          <w:szCs w:val="32"/>
          <w:lang w:eastAsia="zh-CN"/>
        </w:rPr>
        <w:t>的</w:t>
      </w:r>
      <w:r>
        <w:rPr>
          <w:rFonts w:hint="eastAsia" w:ascii="仿宋" w:hAnsi="仿宋" w:eastAsia="仿宋" w:cs="仿宋"/>
          <w:sz w:val="32"/>
          <w:szCs w:val="32"/>
        </w:rPr>
        <w:t>渠道</w:t>
      </w:r>
      <w:r>
        <w:rPr>
          <w:rFonts w:hint="eastAsia" w:ascii="仿宋" w:hAnsi="仿宋" w:eastAsia="仿宋" w:cs="仿宋"/>
          <w:sz w:val="32"/>
          <w:szCs w:val="32"/>
          <w:lang w:eastAsia="zh-CN"/>
        </w:rPr>
        <w:t>还</w:t>
      </w:r>
      <w:r>
        <w:rPr>
          <w:rFonts w:hint="eastAsia" w:ascii="仿宋" w:hAnsi="仿宋" w:eastAsia="仿宋" w:cs="仿宋"/>
          <w:sz w:val="32"/>
          <w:szCs w:val="32"/>
        </w:rPr>
        <w:t>不够多样化</w:t>
      </w:r>
      <w:r>
        <w:rPr>
          <w:rFonts w:hint="eastAsia" w:ascii="仿宋" w:hAnsi="仿宋" w:eastAsia="仿宋" w:cs="仿宋"/>
          <w:sz w:val="32"/>
          <w:szCs w:val="32"/>
          <w:lang w:eastAsia="zh-CN"/>
        </w:rPr>
        <w:t>。三是</w:t>
      </w:r>
      <w:r>
        <w:rPr>
          <w:rFonts w:hint="eastAsia" w:ascii="仿宋" w:hAnsi="仿宋" w:eastAsia="仿宋" w:cs="仿宋"/>
          <w:sz w:val="32"/>
          <w:szCs w:val="32"/>
        </w:rPr>
        <w:t>政务公开工作的人员力量相对薄弱</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针对上述问题，2026年我们将进一步做好以下工作：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一是努力</w:t>
      </w:r>
      <w:r>
        <w:rPr>
          <w:rFonts w:hint="eastAsia" w:ascii="仿宋" w:hAnsi="仿宋" w:eastAsia="仿宋" w:cs="仿宋"/>
          <w:sz w:val="32"/>
          <w:szCs w:val="32"/>
        </w:rPr>
        <w:t>通过图文、短视频等生动形象的方式向社会公众介绍并解读政策原意。严格落实“谁主办谁负责”的文件解读和政策回应要求，向社会公众解读回应重大政策和重要政府信息</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二是</w:t>
      </w:r>
      <w:r>
        <w:rPr>
          <w:rFonts w:hint="eastAsia" w:ascii="仿宋" w:hAnsi="仿宋" w:eastAsia="仿宋" w:cs="仿宋"/>
          <w:sz w:val="32"/>
          <w:szCs w:val="32"/>
        </w:rPr>
        <w:t>积极拓展公开渠道，除了官方网站外，积极利用社交媒体等新媒体平台，拓宽信息公开渠道。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三是充实人员力量，加强业务培训，进一步加强主动公开工作力度，持续提升政务公开工作水平。</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黑体" w:hAnsi="黑体" w:eastAsia="黑体" w:cs="黑体"/>
          <w:b/>
          <w:bCs/>
          <w:sz w:val="32"/>
          <w:szCs w:val="32"/>
        </w:rPr>
      </w:pPr>
      <w:r>
        <w:rPr>
          <w:rFonts w:hint="eastAsia" w:ascii="黑体" w:hAnsi="黑体" w:eastAsia="黑体" w:cs="黑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山西省</w:t>
      </w:r>
      <w:r>
        <w:rPr>
          <w:rFonts w:hint="eastAsia" w:ascii="仿宋" w:hAnsi="仿宋" w:eastAsia="仿宋" w:cs="仿宋"/>
          <w:sz w:val="32"/>
          <w:szCs w:val="32"/>
        </w:rPr>
        <w:t>体育局202</w:t>
      </w:r>
      <w:r>
        <w:rPr>
          <w:rFonts w:hint="eastAsia" w:ascii="仿宋" w:hAnsi="仿宋" w:eastAsia="仿宋" w:cs="仿宋"/>
          <w:sz w:val="32"/>
          <w:szCs w:val="32"/>
          <w:lang w:val="en-US" w:eastAsia="zh-CN"/>
        </w:rPr>
        <w:t>5</w:t>
      </w:r>
      <w:r>
        <w:rPr>
          <w:rFonts w:hint="eastAsia" w:ascii="仿宋" w:hAnsi="仿宋" w:eastAsia="仿宋" w:cs="仿宋"/>
          <w:sz w:val="32"/>
          <w:szCs w:val="32"/>
        </w:rPr>
        <w:t>年度未收取政府信息公开处理费。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山西省体育局</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default" w:ascii="仿宋" w:hAnsi="仿宋" w:eastAsia="仿宋" w:cs="仿宋"/>
          <w:sz w:val="32"/>
          <w:szCs w:val="32"/>
          <w:lang w:val="en-US"/>
        </w:rPr>
        <w:t>15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463"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NTI4OWJlZmEyYThhNWFjNTQxMTdhODhmYzQ4YzUifQ=="/>
  </w:docVars>
  <w:rsids>
    <w:rsidRoot w:val="0038068A"/>
    <w:rsid w:val="001177AE"/>
    <w:rsid w:val="00150F54"/>
    <w:rsid w:val="00195C8C"/>
    <w:rsid w:val="001E2D49"/>
    <w:rsid w:val="00201FB7"/>
    <w:rsid w:val="00262D2F"/>
    <w:rsid w:val="00296004"/>
    <w:rsid w:val="002B21FA"/>
    <w:rsid w:val="002F1494"/>
    <w:rsid w:val="0030002A"/>
    <w:rsid w:val="0038068A"/>
    <w:rsid w:val="003E7953"/>
    <w:rsid w:val="00490518"/>
    <w:rsid w:val="004F5BF7"/>
    <w:rsid w:val="00554386"/>
    <w:rsid w:val="005D27AD"/>
    <w:rsid w:val="00600F88"/>
    <w:rsid w:val="006678A7"/>
    <w:rsid w:val="006B58B8"/>
    <w:rsid w:val="007A1756"/>
    <w:rsid w:val="00804B38"/>
    <w:rsid w:val="008C7CA8"/>
    <w:rsid w:val="008F2F85"/>
    <w:rsid w:val="009D6B1E"/>
    <w:rsid w:val="00A4486D"/>
    <w:rsid w:val="00B12C6B"/>
    <w:rsid w:val="00BF2440"/>
    <w:rsid w:val="00BF2837"/>
    <w:rsid w:val="00C40ADB"/>
    <w:rsid w:val="00C50D90"/>
    <w:rsid w:val="00C656A8"/>
    <w:rsid w:val="00C859DC"/>
    <w:rsid w:val="00CA24A4"/>
    <w:rsid w:val="00D349A7"/>
    <w:rsid w:val="00D4612A"/>
    <w:rsid w:val="00DF749A"/>
    <w:rsid w:val="00E45742"/>
    <w:rsid w:val="00EB0D10"/>
    <w:rsid w:val="00EF5A8A"/>
    <w:rsid w:val="07260AFF"/>
    <w:rsid w:val="09FF7F52"/>
    <w:rsid w:val="0BFFEBAF"/>
    <w:rsid w:val="11512A6E"/>
    <w:rsid w:val="12111868"/>
    <w:rsid w:val="196E50E7"/>
    <w:rsid w:val="1D6F0D96"/>
    <w:rsid w:val="20423C7E"/>
    <w:rsid w:val="20D20C87"/>
    <w:rsid w:val="251871C9"/>
    <w:rsid w:val="26446DA5"/>
    <w:rsid w:val="2CD11CE8"/>
    <w:rsid w:val="2DB70DBF"/>
    <w:rsid w:val="2F1C0755"/>
    <w:rsid w:val="31F935DE"/>
    <w:rsid w:val="36F96E1D"/>
    <w:rsid w:val="374C56C5"/>
    <w:rsid w:val="37CF748A"/>
    <w:rsid w:val="393A62A9"/>
    <w:rsid w:val="3D96FE23"/>
    <w:rsid w:val="3DFA33AA"/>
    <w:rsid w:val="3FFBEDAA"/>
    <w:rsid w:val="413C7653"/>
    <w:rsid w:val="47FF389C"/>
    <w:rsid w:val="49085ED9"/>
    <w:rsid w:val="4A0A74F0"/>
    <w:rsid w:val="4DDFAE81"/>
    <w:rsid w:val="537113D8"/>
    <w:rsid w:val="54AA5D5B"/>
    <w:rsid w:val="55973073"/>
    <w:rsid w:val="57FB3CFB"/>
    <w:rsid w:val="59BF4703"/>
    <w:rsid w:val="5DBE4FB0"/>
    <w:rsid w:val="5F545A03"/>
    <w:rsid w:val="5FFF9461"/>
    <w:rsid w:val="63046085"/>
    <w:rsid w:val="631377CE"/>
    <w:rsid w:val="6317585B"/>
    <w:rsid w:val="677DFB15"/>
    <w:rsid w:val="6D3F354F"/>
    <w:rsid w:val="6E6B55AA"/>
    <w:rsid w:val="6F35524C"/>
    <w:rsid w:val="6FCCA2AC"/>
    <w:rsid w:val="75FFD10A"/>
    <w:rsid w:val="77CDB2B8"/>
    <w:rsid w:val="77F77F05"/>
    <w:rsid w:val="77FFB6F3"/>
    <w:rsid w:val="797B4972"/>
    <w:rsid w:val="7AFD89E0"/>
    <w:rsid w:val="7BA02C44"/>
    <w:rsid w:val="7BDFF925"/>
    <w:rsid w:val="7BE72263"/>
    <w:rsid w:val="7D7F63E7"/>
    <w:rsid w:val="7DE35271"/>
    <w:rsid w:val="7EEB0245"/>
    <w:rsid w:val="7F7F33B4"/>
    <w:rsid w:val="7F7FEBEC"/>
    <w:rsid w:val="7FBD5808"/>
    <w:rsid w:val="7FBECB5F"/>
    <w:rsid w:val="7FFB9853"/>
    <w:rsid w:val="7FFD6114"/>
    <w:rsid w:val="82FFF107"/>
    <w:rsid w:val="945C6A06"/>
    <w:rsid w:val="9DF70433"/>
    <w:rsid w:val="ADFEF3F8"/>
    <w:rsid w:val="AEFB77AE"/>
    <w:rsid w:val="B3BBEF94"/>
    <w:rsid w:val="B7F7EFF1"/>
    <w:rsid w:val="BBF56B4F"/>
    <w:rsid w:val="BDDDFED9"/>
    <w:rsid w:val="BEFE0348"/>
    <w:rsid w:val="BFA7744C"/>
    <w:rsid w:val="BFF7A7B2"/>
    <w:rsid w:val="BFFB1E4F"/>
    <w:rsid w:val="BFFF14AE"/>
    <w:rsid w:val="CBF48FE9"/>
    <w:rsid w:val="CBFA5C40"/>
    <w:rsid w:val="DF5F6273"/>
    <w:rsid w:val="DFBFA9A4"/>
    <w:rsid w:val="EDEE7285"/>
    <w:rsid w:val="F17D572B"/>
    <w:rsid w:val="F3B59771"/>
    <w:rsid w:val="F53763B6"/>
    <w:rsid w:val="F7B68B25"/>
    <w:rsid w:val="F8B2DF87"/>
    <w:rsid w:val="FAF37250"/>
    <w:rsid w:val="FBBFF1CF"/>
    <w:rsid w:val="FBDA1235"/>
    <w:rsid w:val="FBE9CBCF"/>
    <w:rsid w:val="FDE9741E"/>
    <w:rsid w:val="FE6BD896"/>
    <w:rsid w:val="FE7DB740"/>
    <w:rsid w:val="FF73CC8A"/>
    <w:rsid w:val="FF7F81DA"/>
    <w:rsid w:val="FFBBC33D"/>
    <w:rsid w:val="FFBE2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No Spacing_ad81b47b-6779-4c76-b471-79375858c8cb"/>
    <w:basedOn w:val="1"/>
    <w:qFormat/>
    <w:uiPriority w:val="0"/>
    <w:pPr>
      <w:ind w:firstLine="200" w:firstLineChars="200"/>
    </w:pPr>
    <w:rPr>
      <w:rFonts w:eastAsia="仿宋_GB2312" w:cs="宋体"/>
      <w:snapToGrid w:val="0"/>
      <w:kern w:val="0"/>
      <w:sz w:val="32"/>
      <w:szCs w:val="32"/>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semiHidden/>
    <w:qFormat/>
    <w:uiPriority w:val="99"/>
    <w:rPr>
      <w:kern w:val="2"/>
      <w:sz w:val="18"/>
      <w:szCs w:val="18"/>
    </w:rPr>
  </w:style>
  <w:style w:type="paragraph" w:customStyle="1" w:styleId="12">
    <w:name w:val="BodyTextIndent"/>
    <w:basedOn w:val="1"/>
    <w:next w:val="13"/>
    <w:qFormat/>
    <w:uiPriority w:val="0"/>
    <w:pPr>
      <w:ind w:left="640" w:leftChars="200"/>
    </w:pPr>
    <w:rPr>
      <w:rFonts w:ascii="Calibri" w:hAnsi="Calibri"/>
      <w:szCs w:val="22"/>
    </w:rPr>
  </w:style>
  <w:style w:type="paragraph" w:customStyle="1" w:styleId="13">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2597</Words>
  <Characters>2696</Characters>
  <Lines>15</Lines>
  <Paragraphs>4</Paragraphs>
  <TotalTime>70</TotalTime>
  <ScaleCrop>false</ScaleCrop>
  <LinksUpToDate>false</LinksUpToDate>
  <CharactersWithSpaces>2877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2021-08-06T17:53:00Z</dcterms:created>
  <dc:creator>肖楠 申</dc:creator>
  <cp:lastModifiedBy>greatwall</cp:lastModifiedBy>
  <cp:lastPrinted>2026-01-15T18:51:00Z</cp:lastPrinted>
  <dcterms:modified xsi:type="dcterms:W3CDTF">2026-01-15T11:01:41Z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0DA6CFCA17874AEDBA2AA8DC8A126A23_13</vt:lpwstr>
  </property>
  <property fmtid="{D5CDD505-2E9C-101B-9397-08002B2CF9AE}" pid="4" name="KSOTemplateDocerSaveRecord">
    <vt:lpwstr>eyJoZGlkIjoiNjFiNTI4OWJlZmEyYThhNWFjNTQxMTdhODhmYzQ4YzUiLCJ1c2VySWQiOiIxMjA2NjE1MjIyIn0=</vt:lpwstr>
  </property>
</Properties>
</file>